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u w:val="single"/>
          <w:lang w:eastAsia="zh-CN"/>
        </w:rPr>
        <w:t>法学院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安晨曦</w:t>
      </w:r>
      <w:r>
        <w:rPr>
          <w:rFonts w:hint="eastAsia"/>
          <w:sz w:val="30"/>
          <w:u w:val="single"/>
        </w:rPr>
        <w:t xml:space="preserve">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讲师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法学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教学科研并重型副教授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tabs>
          <w:tab w:val="left" w:pos="8400"/>
        </w:tabs>
        <w:ind w:right="1237" w:rightChars="589" w:firstLine="1920" w:firstLineChars="8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13637631981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</w:p>
    <w:p>
      <w:pPr>
        <w:jc w:val="both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hint="default" w:ascii="Times New Roman" w:hAnsi="Times New Roman" w:cs="Times New Roman"/>
          <w:sz w:val="24"/>
          <w:lang w:val="en-US" w:eastAsia="zh-CN"/>
        </w:rPr>
        <w:t>2020</w:t>
      </w:r>
      <w:r>
        <w:rPr>
          <w:rFonts w:hint="default" w:ascii="Times New Roman" w:hAnsi="Times New Roman" w:cs="Times New Roman"/>
          <w:sz w:val="24"/>
        </w:rPr>
        <w:t xml:space="preserve">年 </w:t>
      </w:r>
      <w:r>
        <w:rPr>
          <w:rFonts w:hint="default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283"/>
        <w:gridCol w:w="122"/>
        <w:gridCol w:w="20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安晨曦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1982.10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高等教育/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诉讼法学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博士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法学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法学院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2016.07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民事诉讼法学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正常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讲师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/2016.08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2016.09/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法律职业</w:t>
            </w:r>
          </w:p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法学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教学科研并重型副教授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2018年获海南省社会科学优秀成果二等奖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2010.09-2013.06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脱产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海南大学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法学院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/法学专业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王琦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2013.09-2016.06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脱产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海南大学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法学院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/法学专业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王琦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2017.10.25-12.25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网络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海南师范大学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法学院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/法学专业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林必恒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2019.01.17-18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脱产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海南师范大学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法学院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/法学专业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林必恒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2019.08.12-16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脱产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燕山大学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法学院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/法学专业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林必恒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2019.08.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脱产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法学院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/法学专业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林必恒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2020.08.01-08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网络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中国人民大学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  <w:t>法学院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/法学专业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林必恒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00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至今</w:t>
            </w:r>
          </w:p>
        </w:tc>
        <w:tc>
          <w:tcPr>
            <w:tcW w:w="3001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海南师范大学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法学专业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专职教师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01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01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01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01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01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01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01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01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1918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安晨曦老师在思想品德方面，一贯积极上进，爱岗敬业，有较高的思想政治觉悟和良好的师德修养；能够严格执行师德规范，遵守学校和学院的各项规章制度，政治表现良好，起到了示范作用。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2016年称职；2017年称职；2018年优秀；2019年称职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2016.09-2020.06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4次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pPr w:leftFromText="180" w:rightFromText="180" w:vertAnchor="text" w:horzAnchor="page" w:tblpX="1247" w:tblpY="308"/>
        <w:tblOverlap w:val="never"/>
        <w:tblW w:w="99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80"/>
        <w:gridCol w:w="2720"/>
        <w:gridCol w:w="2360"/>
        <w:gridCol w:w="683"/>
        <w:gridCol w:w="709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8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任现职以来，承担全日期本科生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962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320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优秀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档次。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至少承担一届本科生毕业实习和论文指导工作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主持完成校级及以上教学改革项目（含实验教学改革项目）1项或参与完成省教育厅级及以上教学改革项目（含实验教学改革项目）1项（排名前二）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主持校级精品在线开放课程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2016-201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民事诉讼法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2015级法学2班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4"/>
                <w:szCs w:val="21"/>
                <w:lang w:val="en-US" w:eastAsia="zh-CN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2016-201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法学方法论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2015级法学2班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民事诉讼法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2016级法学1/2班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旅游法学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2015级法学1/2班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法学方法论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2016级法学1/2班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国际法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2016级法学1/2班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法理学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2016级法学1班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民事诉讼法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2017级法学1/2班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中西法学经典案例专题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2018文史法类13班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国际法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18法学（3+2）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国际法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2017级法学1/2班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2018-201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（二）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中西法学经典案例专题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2018文史法类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2019-202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仲裁法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2017级法学1/2班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2019-202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民事诉讼法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2018级法学1/2班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2019-202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国际法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19法学（3+2）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1/2班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2019-202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（一）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法学通论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2019文史法类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14班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6"/>
        <w:tblW w:w="99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83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79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31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1.指导2013-2016级本科生毕业论文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2.指导2016级本科生毕业实习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3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主持2016年海南省教育科学规划课题（海南省教育科学规划领导小组办公室）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2.主持2019年通识教育课程建设（含线上课程教学）</w:t>
            </w: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1521"/>
        <w:gridCol w:w="708"/>
        <w:gridCol w:w="1411"/>
        <w:gridCol w:w="1210"/>
        <w:gridCol w:w="1900"/>
        <w:gridCol w:w="670"/>
        <w:gridCol w:w="1170"/>
        <w:gridCol w:w="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主持省级以上科研项目1项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在A类刊物发表论文1篇;或在B类刊物发表论文2篇；或在C类以上刊物发表论文3篇(其中B类不少于1篇)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获海南省高等学校优秀科研成果奖（一等奖排名前三或二等奖排名前二或三等奖排名第一）1项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卓越法律人才培养中的法律职业伦理教育研究</w:t>
            </w:r>
          </w:p>
        </w:tc>
        <w:tc>
          <w:tcPr>
            <w:tcW w:w="121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QJY13516011</w:t>
            </w:r>
          </w:p>
        </w:tc>
        <w:tc>
          <w:tcPr>
            <w:tcW w:w="190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海南省教育科学规划课题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自筹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“互联网+”时代电子法院构建研究</w:t>
            </w:r>
          </w:p>
        </w:tc>
        <w:tc>
          <w:tcPr>
            <w:tcW w:w="121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HNS（ZC17-9）</w:t>
            </w:r>
          </w:p>
        </w:tc>
        <w:tc>
          <w:tcPr>
            <w:tcW w:w="190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海南省哲学社会科学规划课题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2017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自筹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海南国际旅游岛旅游纠纷诉讼外解决机制研究</w:t>
            </w:r>
          </w:p>
        </w:tc>
        <w:tc>
          <w:tcPr>
            <w:tcW w:w="121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Hnky2018-26</w:t>
            </w:r>
          </w:p>
        </w:tc>
        <w:tc>
          <w:tcPr>
            <w:tcW w:w="190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海南省高等学校科学研究项目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1.5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海南自贸区民商事纠纷解决机制研究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JD19-24</w:t>
            </w:r>
          </w:p>
        </w:tc>
        <w:tc>
          <w:tcPr>
            <w:tcW w:w="190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海南省哲学社会科学规划课题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8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5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我国转型社会中的法治思维研究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13BFX010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国家社科基金项目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否</w:t>
            </w: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803"/>
        <w:gridCol w:w="75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以第一作者（或通信作者）发表论文总数：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篇，其中：A类   篇，B类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篇，C类  篇，D类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司法文件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</w:rPr>
              <w:t>法律虚置后的裁判非正式规则——规则供给与文件政治的二重读解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湖北社会科学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</w:rPr>
              <w:t>2016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年第</w:t>
            </w:r>
            <w:r>
              <w:rPr>
                <w:rFonts w:hint="eastAsia" w:asciiTheme="majorEastAsia" w:hAnsiTheme="majorEastAsia" w:eastAsiaTheme="majorEastAsia" w:cstheme="majorEastAsia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期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CSSCI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电子诉讼形塑的中国策略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湖北社会科学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</w:rPr>
              <w:t>2017年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</w:rPr>
              <w:t>8期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CSSCI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我国商事仲裁送达制度的完善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——</w:t>
            </w:r>
            <w:r>
              <w:rPr>
                <w:rFonts w:hint="eastAsia" w:asciiTheme="majorEastAsia" w:hAnsiTheme="majorEastAsia" w:eastAsiaTheme="majorEastAsia" w:cstheme="majorEastAsia"/>
              </w:rPr>
              <w:t>以109个仲裁规则为对象</w:t>
            </w:r>
          </w:p>
        </w:tc>
        <w:tc>
          <w:tcPr>
            <w:tcW w:w="3260" w:type="dxa"/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福建农林大学学报(哲学社会科学版)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</w:rPr>
              <w:t>2017年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</w:rPr>
              <w:t>1期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省级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我国远程审判制度的反思与构建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福建农林大学学报(哲学社会科学版)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</w:rPr>
              <w:t>2018年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</w:rPr>
              <w:t>6期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省级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有</w:t>
            </w:r>
          </w:p>
        </w:tc>
      </w:tr>
    </w:tbl>
    <w:p/>
    <w:p/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tbl>
      <w:tblPr>
        <w:tblStyle w:val="6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1000"/>
        <w:gridCol w:w="940"/>
        <w:gridCol w:w="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最高人民法院如何统一法律适用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</w:rPr>
              <w:t>非正规释法技艺的考察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论文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海南省第十次社会科学优秀成果奖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二等奖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2018.12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第一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p/>
    <w:p/>
    <w:tbl>
      <w:tblPr>
        <w:tblStyle w:val="6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r>
        <w:rPr>
          <w:rFonts w:hint="eastAsia"/>
        </w:rPr>
        <w:t xml:space="preserve"> 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89"/>
        <w:gridCol w:w="1230"/>
        <w:gridCol w:w="1300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最高法院统一法律适用的策略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法学院</w:t>
            </w: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2018.11.29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公共楼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309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全校/112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最高法院《五五纲要》解读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法学院</w:t>
            </w: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2019.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公共楼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309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全校/105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从法学院到法院的方向迷思——兼谈方法、规划与视野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法学院</w:t>
            </w: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2020.07.10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公共楼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309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全校/91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法学的启蒙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法学院</w:t>
            </w: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2020.10.23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公共楼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309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全校/93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8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30" w:type="dxa"/>
          </w:tcPr>
          <w:p>
            <w:pPr>
              <w:widowControl/>
              <w:jc w:val="center"/>
            </w:pPr>
          </w:p>
        </w:tc>
        <w:tc>
          <w:tcPr>
            <w:tcW w:w="1300" w:type="dxa"/>
          </w:tcPr>
          <w:p>
            <w:pPr>
              <w:widowControl/>
              <w:jc w:val="center"/>
            </w:pPr>
          </w:p>
        </w:tc>
        <w:tc>
          <w:tcPr>
            <w:tcW w:w="100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8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30" w:type="dxa"/>
          </w:tcPr>
          <w:p>
            <w:pPr>
              <w:widowControl/>
              <w:jc w:val="center"/>
            </w:pPr>
          </w:p>
        </w:tc>
        <w:tc>
          <w:tcPr>
            <w:tcW w:w="1300" w:type="dxa"/>
          </w:tcPr>
          <w:p>
            <w:pPr>
              <w:widowControl/>
              <w:jc w:val="center"/>
            </w:pPr>
          </w:p>
        </w:tc>
        <w:tc>
          <w:tcPr>
            <w:tcW w:w="100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安晨曦老师，系</w:t>
            </w:r>
            <w:r>
              <w:rPr>
                <w:rStyle w:val="13"/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海南省拔尖人才，教学与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研究领域主要涉及民事诉讼法学、仲裁法学、司法制度、法社会学等。曾在《现代法学》《法律科学》《海南大学学报》《北方法学》等核心期刊发表论文20余篇，3篇文章被《人大复印报刊资料》全文转载。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在科研方面，主持海南省哲学社会科学规划课题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2项，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海南省教育厅课题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项、参与完成国家社科基金、省部级课题研究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项。研究成果获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2018年度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海南省社会科学优秀成果二等奖；在教学方面，承担海南省教育科学规划课题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1项，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eastAsia="zh-CN"/>
              </w:rPr>
              <w:t>长期承担本科生的《民事诉讼法学》《法学通论》《仲裁法学》等课程教学，教学评价等级为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val="en-US" w:eastAsia="zh-CN"/>
              </w:rPr>
              <w:t>A，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eastAsia="zh-CN"/>
              </w:rPr>
              <w:t>教学效果得到师生的一致好评。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2" w:firstLineChars="200"/>
              <w:textAlignment w:val="auto"/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eastAsia="zh-CN"/>
              </w:rPr>
              <w:t>在指导学生方面，曾担任2016级法学二班班主任，定期召开班委会干部会议，了解学生在生活、学业、心理等方面的问题，不定期组织班内学生开展有意义的社会公益活动，每月不定期召开班级例会，与学生谈心，解答学生在生活、学习中的各种困惑。在每学年开学初期，指导学生制定本学期的学习规划与近期目标，引导学生有计划、有目标地完成学业。除此之外，根据本人的科研兴趣，自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val="en-US" w:eastAsia="zh-CN"/>
              </w:rPr>
              <w:t>2016年起，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eastAsia="zh-CN"/>
              </w:rPr>
              <w:t>组织全院学生开展“法律书籍读书会”活动，通过每期活动的交流，不仅激发了学生的阅读兴趣与获取课外知识的技能，而且也锻炼了学生的表达、写作、思考等方面的能力。2018年和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eastAsia="zh-CN"/>
              </w:rPr>
              <w:t>，指导学生开展海南师范大学“启航计划”项目，已开展“法律文书写作”“法学本科学术论文写作”“法律职业前景与规划”等活动，得到师生的一致认可及好评。在暑期社会实践中，指导我院学生在海南省高级人民法院等见习单位交流学习，为更有针对性地了解、掌握司法实践知识，定期指导解答学生在实习期间的困惑，指导学生撰写实习心得与实习总结。在我院推行“本科生学业导师制”的机制下，辅导本科学生专业课程，课外实习、法律职业资格考试、撰写毕业论文，并获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val="en-US" w:eastAsia="zh-CN"/>
              </w:rPr>
              <w:t>2018年度校级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eastAsia="zh-CN"/>
              </w:rPr>
              <w:t>优秀论文奖。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2" w:firstLineChars="200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2"/>
                <w:sz w:val="21"/>
                <w:szCs w:val="21"/>
                <w:lang w:eastAsia="zh-CN"/>
              </w:rPr>
              <w:t>在社会兼职方面，担任中国法学会民事诉讼法学研究会理事，海南省人民检察院民事行政诉讼监督案件专家咨询委员会委员等，能够积极参与法律实践，坚持理论研究与教学的彼此承接，将法律实践反哺于教学活动。</w:t>
            </w:r>
          </w:p>
          <w:p/>
          <w:p/>
          <w:p/>
          <w:p/>
          <w:p>
            <w:r>
              <w:rPr>
                <w:rFonts w:hint="eastAsia"/>
              </w:rPr>
              <w:t>本人承诺：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签名：                年   月   日</w:t>
            </w:r>
          </w:p>
          <w:p>
            <w:pPr>
              <w:rPr>
                <w:rFonts w:hint="eastAsia"/>
              </w:rPr>
            </w:pPr>
          </w:p>
          <w:p>
            <w:pPr>
              <w:ind w:firstLine="5250" w:firstLineChars="2500"/>
              <w:rPr>
                <w:rFonts w:hint="eastAsia"/>
              </w:rPr>
            </w:pPr>
          </w:p>
        </w:tc>
      </w:tr>
    </w:tbl>
    <w:p/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依据《海南师范大学教师系列专业技术职务评审管理办法（暂行）》（海师办[2018]99号文规定，经鉴定审核，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5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：《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司法文件:法律虚置后的裁判非正式规则——规则供给与文件政治的二重读解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》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：《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电子诉讼形塑的中国策略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B"/>
    <w:rsid w:val="0002075C"/>
    <w:rsid w:val="00024587"/>
    <w:rsid w:val="00050B41"/>
    <w:rsid w:val="000734BB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B0A30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501DE0"/>
    <w:rsid w:val="00507D8E"/>
    <w:rsid w:val="00523155"/>
    <w:rsid w:val="00583E93"/>
    <w:rsid w:val="005E06B1"/>
    <w:rsid w:val="005E3440"/>
    <w:rsid w:val="005E58F4"/>
    <w:rsid w:val="00607D1E"/>
    <w:rsid w:val="00622561"/>
    <w:rsid w:val="00623BB8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353C"/>
    <w:rsid w:val="009E64C8"/>
    <w:rsid w:val="00A03435"/>
    <w:rsid w:val="00A12F14"/>
    <w:rsid w:val="00A600A4"/>
    <w:rsid w:val="00AD5CCC"/>
    <w:rsid w:val="00AF445F"/>
    <w:rsid w:val="00B06BF4"/>
    <w:rsid w:val="00B07F41"/>
    <w:rsid w:val="00B16465"/>
    <w:rsid w:val="00B22E22"/>
    <w:rsid w:val="00B80533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E07849"/>
    <w:rsid w:val="00E161A5"/>
    <w:rsid w:val="00E206F2"/>
    <w:rsid w:val="00E713EE"/>
    <w:rsid w:val="00E87086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1101D03"/>
    <w:rsid w:val="04B27370"/>
    <w:rsid w:val="04C8764A"/>
    <w:rsid w:val="0B3A2252"/>
    <w:rsid w:val="0D454BD7"/>
    <w:rsid w:val="15AC0A52"/>
    <w:rsid w:val="1C597187"/>
    <w:rsid w:val="1FD432AF"/>
    <w:rsid w:val="22D62C18"/>
    <w:rsid w:val="2BF90743"/>
    <w:rsid w:val="32F437B8"/>
    <w:rsid w:val="33393BAB"/>
    <w:rsid w:val="385A5AE2"/>
    <w:rsid w:val="391F1358"/>
    <w:rsid w:val="40514F7E"/>
    <w:rsid w:val="53F14B6A"/>
    <w:rsid w:val="54DA6ACD"/>
    <w:rsid w:val="59DC1385"/>
    <w:rsid w:val="5A4D5F70"/>
    <w:rsid w:val="5ADA48EC"/>
    <w:rsid w:val="64375707"/>
    <w:rsid w:val="683D0F13"/>
    <w:rsid w:val="68DB101F"/>
    <w:rsid w:val="70981770"/>
    <w:rsid w:val="75B4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12</Pages>
  <Words>697</Words>
  <Characters>3977</Characters>
  <Lines>33</Lines>
  <Paragraphs>9</Paragraphs>
  <TotalTime>7</TotalTime>
  <ScaleCrop>false</ScaleCrop>
  <LinksUpToDate>false</LinksUpToDate>
  <CharactersWithSpaces>4665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安晨曦</cp:lastModifiedBy>
  <cp:lastPrinted>2018-11-04T02:00:00Z</cp:lastPrinted>
  <dcterms:modified xsi:type="dcterms:W3CDTF">2020-10-25T15:03:58Z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