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  <w:u w:val="single"/>
          <w:lang w:val="en-US" w:eastAsia="zh-CN"/>
        </w:rPr>
        <w:t>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法学院</w:t>
      </w:r>
      <w:r>
        <w:rPr>
          <w:rFonts w:hint="eastAsia"/>
          <w:sz w:val="28"/>
          <w:u w:val="single"/>
        </w:rPr>
        <w:t xml:space="preserve">    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  <w:lang w:val="en-US" w:eastAsia="zh-CN"/>
        </w:rPr>
        <w:t xml:space="preserve">  张红昌</w:t>
      </w:r>
      <w:r>
        <w:rPr>
          <w:rFonts w:hint="eastAsia"/>
          <w:sz w:val="30"/>
          <w:u w:val="single"/>
        </w:rPr>
        <w:t xml:space="preserve">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副教授</w:t>
      </w:r>
      <w:r>
        <w:rPr>
          <w:rFonts w:hint="eastAsia"/>
          <w:sz w:val="24"/>
          <w:u w:val="single"/>
        </w:rPr>
        <w:t xml:space="preserve">  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 xml:space="preserve"> 法学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 教授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 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 xml:space="preserve"> 年 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2070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258.75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2070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258.75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优秀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担任毕业实习和论文指导工作（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）届；或担任本科生创新创业活动（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2021法学1、2班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128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128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128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2022-2023（二）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2021法学1、2、3班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93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93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2020法学2班、1班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130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2020法学2班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45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2019法学2班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2019法学2班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法学通论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2020文史法类14班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刑法导论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2019文史法类12班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法学通论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2020文史法类9、10班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2019-2020（二）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2019-2020（二）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2018法学1、2班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法学通论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2019文史法类7、10班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2018-2019（二）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2017法学1、2班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2018-2019（二）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 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 2018文史法类2班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2018-2019（一）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2018文史法类7、8班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2018-2019（一）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2017-2018（二）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2017文史法类1班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2017-2018（二）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2017-2018（一）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2017文史法类7、8班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2017-2018（一）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2016-2017（二）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刑事诉讼法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2016-2017（二）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2016文史法类1、2班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2016-2017（一）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犯罪与刑罚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2016-2017（一）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中西法学经典案例专题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2016文史法类11、13班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2015-2016（二）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刑法学（总论）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2015-2016（二）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国际刑法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2014法学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2070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指导本科生论文（84人次）：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2023届，2019级法学专业：指导学生毕业论文12篇；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2022届，2018级法学专业：指导学生毕业论文11篇；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2021届，2017级法学专业：指导学生毕业论文12篇；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2020届，2016级法学专业：指导学生毕业论文17篇；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2019届，2015级法学专业：指导学生毕业论文15篇；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2018届，2014级法学专业：指导学生毕业论文6篇；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2017届，2013级法学专业：指导学生毕业论文6篇；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2016届，2012级法学专业：指导学生毕业论文5篇；</w:t>
            </w: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2400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侵权类民刑交叉案件的法律责任研究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18BFX118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国家社科基金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2018年6月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知识产权案件刑民交叉问题研究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2022（048）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最高人民检察院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2022年7月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  <w:sz w:val="18"/>
                <w:szCs w:val="18"/>
              </w:rPr>
              <w:t>买卖对向行为无罪的中国理论体系构建研究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23BFX120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国家社科基金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2023年9月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sz w:val="18"/>
                <w:szCs w:val="18"/>
              </w:rPr>
              <w:t>刑法规范二重性视阈下存疑有利被告人研究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20FFXB071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国家社科基金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sz w:val="18"/>
                <w:szCs w:val="18"/>
                <w:lang w:val="en-US" w:eastAsia="zh-CN"/>
              </w:rPr>
              <w:t>2020年10月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hint="eastAsia" w:eastAsiaTheme="minorEastAsia"/>
                <w:lang w:val="en-US" w:eastAsia="zh-CN"/>
              </w:rPr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sz w:val="18"/>
                <w:szCs w:val="18"/>
              </w:rPr>
              <w:t>风险社会背景下行政犯扩张及其适用限缩研究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19BFX061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国家社科基金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sz w:val="18"/>
                <w:szCs w:val="18"/>
                <w:lang w:val="en-US" w:eastAsia="zh-CN"/>
              </w:rPr>
              <w:t>2019年7月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hint="eastAsia" w:eastAsiaTheme="minorEastAsia"/>
                <w:lang w:val="en-US" w:eastAsia="zh-CN"/>
              </w:rPr>
            </w:pPr>
          </w:p>
          <w:p/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840"/>
        <w:gridCol w:w="1238"/>
        <w:gridCol w:w="1016"/>
        <w:gridCol w:w="2250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E级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体系与问题交融下民刑交叉案件的谦抑性研究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中国人民公安大学学报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2023年8月，2023年第4期。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23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0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01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4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38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侵占罪的保护法益及其实害判定</w:t>
            </w:r>
          </w:p>
        </w:tc>
        <w:tc>
          <w:tcPr>
            <w:tcW w:w="22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南海法学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2022年12月，2022年第6期。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op w:val="single" w:color="000000" w:sz="12" w:space="0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sz w:val="15"/>
                <w:szCs w:val="15"/>
              </w:rPr>
              <w:t>侵犯商业秘密罪的新司法解释及其适用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南海法学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2020年10月，2020年第5期。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sz w:val="15"/>
                <w:szCs w:val="15"/>
              </w:rPr>
              <w:t>行政处罚听证程序适用范畴探究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新东方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2017年10月，2017年第5期。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行政审批制度改革的误区及其匡正</w:t>
            </w:r>
          </w:p>
        </w:tc>
        <w:tc>
          <w:tcPr>
            <w:tcW w:w="22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新东方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2016年4月，2016年第2期。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依法治国背景下农村居民的法律规避研究——以纠纷解决为中心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南海学刊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2015年12月，2015年第4期。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G级</w:t>
            </w:r>
          </w:p>
        </w:tc>
        <w:tc>
          <w:tcPr>
            <w:tcW w:w="101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地方立法的现状、问题及其改进对策</w:t>
            </w:r>
          </w:p>
        </w:tc>
        <w:tc>
          <w:tcPr>
            <w:tcW w:w="225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新东方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  <w:lang w:val="en-US" w:eastAsia="zh-CN"/>
              </w:rPr>
              <w:t>2015年12月，2016年第6期。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p>
      <w:pPr>
        <w:widowControl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3"/>
                <w:szCs w:val="13"/>
                <w:lang w:val="en-US" w:eastAsia="zh-CN"/>
              </w:rPr>
              <w:t>侵权类民刑交叉案件的法律责任研究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知识产权出版社，2023年12月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2023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第240613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32.5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32.5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刑法修正案（十一）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对野生动物资源的保护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第十六届泛珠三角合作与发展法治论坛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2021年8月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D级</w:t>
            </w: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检察机关服务营商环境机制研究</w:t>
            </w: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优秀奖</w:t>
            </w: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第十七届泛珠三角合作与发展法治论坛</w:t>
            </w: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2022年11月</w:t>
            </w: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D级</w:t>
            </w: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检察机关参与社会治理的法理逻辑和现实基础</w:t>
            </w: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依法能动履职 助推社会高效能治理研讨会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2023年5月</w:t>
            </w: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</w:p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c4Y2MwOGM0YWJhMmIyZWM2NzRiNTIxZmJlYWRkZjgifQ=="/>
    <w:docVar w:name="KSO_WPS_MARK_KEY" w:val="088b0387-0b7b-4970-a6b5-d5dbcfaaf395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122DA0"/>
    <w:rsid w:val="04F82111"/>
    <w:rsid w:val="0643325A"/>
    <w:rsid w:val="07067DF7"/>
    <w:rsid w:val="0A9B39E1"/>
    <w:rsid w:val="153B3244"/>
    <w:rsid w:val="1A592B2E"/>
    <w:rsid w:val="1C1C0749"/>
    <w:rsid w:val="1E1E083D"/>
    <w:rsid w:val="26C836D0"/>
    <w:rsid w:val="2A685020"/>
    <w:rsid w:val="2B2A0055"/>
    <w:rsid w:val="2CBF0E1F"/>
    <w:rsid w:val="2E71568D"/>
    <w:rsid w:val="30D2351A"/>
    <w:rsid w:val="33D6278A"/>
    <w:rsid w:val="368B6434"/>
    <w:rsid w:val="38BA425C"/>
    <w:rsid w:val="41772B64"/>
    <w:rsid w:val="43D9101E"/>
    <w:rsid w:val="499C1040"/>
    <w:rsid w:val="49C05A15"/>
    <w:rsid w:val="49DF4468"/>
    <w:rsid w:val="500B15FA"/>
    <w:rsid w:val="504D7311"/>
    <w:rsid w:val="516E431D"/>
    <w:rsid w:val="59304200"/>
    <w:rsid w:val="607F72D6"/>
    <w:rsid w:val="67E445BE"/>
    <w:rsid w:val="6AC141C7"/>
    <w:rsid w:val="6F772803"/>
    <w:rsid w:val="76042E83"/>
    <w:rsid w:val="784A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8429</Words>
  <Characters>9725</Characters>
  <Lines>81</Lines>
  <Paragraphs>22</Paragraphs>
  <TotalTime>17</TotalTime>
  <ScaleCrop>false</ScaleCrop>
  <LinksUpToDate>false</LinksUpToDate>
  <CharactersWithSpaces>11362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WPS_1705497038</cp:lastModifiedBy>
  <cp:lastPrinted>2024-10-10T16:42:00Z</cp:lastPrinted>
  <dcterms:modified xsi:type="dcterms:W3CDTF">2024-10-14T03:34:24Z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30D47DAD9AAC42E682495CA7025E11C9_13</vt:lpwstr>
  </property>
</Properties>
</file>