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rPr>
          <w:rFonts w:hint="eastAsia" w:ascii="宋体" w:hAnsi="宋体" w:eastAsia="宋体"/>
          <w:sz w:val="24"/>
          <w:szCs w:val="28"/>
        </w:rPr>
      </w:pPr>
      <w:bookmarkStart w:id="0" w:name="_GoBack"/>
      <w:bookmarkEnd w:id="0"/>
      <w:r>
        <w:rPr>
          <w:rFonts w:hint="eastAsia" w:ascii="宋体" w:hAnsi="宋体" w:eastAsia="宋体"/>
          <w:sz w:val="24"/>
          <w:szCs w:val="28"/>
        </w:rPr>
        <w:t>附件1</w:t>
      </w:r>
    </w:p>
    <w:p>
      <w:pPr>
        <w:spacing w:after="156" w:afterLines="50" w:line="240" w:lineRule="auto"/>
        <w:jc w:val="center"/>
        <w:rPr>
          <w:rFonts w:hint="eastAsia" w:ascii="黑体" w:hAnsi="黑体" w:eastAsia="黑体"/>
          <w:b/>
          <w:bCs/>
          <w:sz w:val="28"/>
          <w:szCs w:val="32"/>
        </w:rPr>
      </w:pPr>
      <w:r>
        <w:rPr>
          <w:rFonts w:hint="eastAsia" w:ascii="黑体" w:hAnsi="黑体" w:eastAsia="黑体"/>
          <w:b/>
          <w:bCs/>
          <w:sz w:val="28"/>
          <w:szCs w:val="32"/>
        </w:rPr>
        <w:t>海南师范大学</w:t>
      </w:r>
      <w:r>
        <w:rPr>
          <w:rFonts w:ascii="黑体" w:hAnsi="黑体" w:eastAsia="黑体"/>
          <w:b/>
          <w:bCs/>
          <w:sz w:val="28"/>
          <w:szCs w:val="32"/>
        </w:rPr>
        <w:t>法学院2027年接收推免硕士研究生材料审核评分标准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1701"/>
        <w:gridCol w:w="4111"/>
        <w:gridCol w:w="10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413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/>
                <w:b/>
                <w:bCs/>
                <w:sz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</w:rPr>
              <w:t>审核项目</w:t>
            </w:r>
          </w:p>
        </w:tc>
        <w:tc>
          <w:tcPr>
            <w:tcW w:w="5812" w:type="dxa"/>
            <w:gridSpan w:val="2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/>
                <w:b/>
                <w:bCs/>
                <w:sz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</w:rPr>
              <w:t>审核要点</w:t>
            </w:r>
          </w:p>
        </w:tc>
        <w:tc>
          <w:tcPr>
            <w:tcW w:w="1071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/>
                <w:b/>
                <w:bCs/>
                <w:sz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</w:rPr>
              <w:t>分值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vMerge w:val="restar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学业成绩（</w:t>
            </w:r>
            <w:r>
              <w:rPr>
                <w:rFonts w:hint="eastAsia" w:ascii="宋体" w:hAnsi="宋体" w:eastAsia="宋体"/>
                <w:sz w:val="24"/>
              </w:rPr>
              <w:t>3</w:t>
            </w:r>
            <w:r>
              <w:rPr>
                <w:rFonts w:ascii="宋体" w:hAnsi="宋体" w:eastAsia="宋体"/>
                <w:sz w:val="24"/>
              </w:rPr>
              <w:t>0分）</w:t>
            </w:r>
          </w:p>
        </w:tc>
        <w:tc>
          <w:tcPr>
            <w:tcW w:w="1701" w:type="dxa"/>
            <w:vMerge w:val="restar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仿宋"/>
                <w:sz w:val="24"/>
              </w:rPr>
              <w:t>专业课成绩平均绩点</w:t>
            </w:r>
          </w:p>
        </w:tc>
        <w:tc>
          <w:tcPr>
            <w:tcW w:w="4111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仿宋"/>
                <w:sz w:val="24"/>
              </w:rPr>
              <w:t>4.5分及以上</w:t>
            </w:r>
          </w:p>
        </w:tc>
        <w:tc>
          <w:tcPr>
            <w:tcW w:w="1071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仿宋"/>
                <w:sz w:val="24"/>
              </w:rPr>
            </w:pPr>
            <w:r>
              <w:rPr>
                <w:rFonts w:hint="eastAsia" w:ascii="宋体" w:hAnsi="宋体" w:eastAsia="宋体" w:cs="仿宋"/>
                <w:sz w:val="24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" w:hRule="atLeast"/>
        </w:trPr>
        <w:tc>
          <w:tcPr>
            <w:tcW w:w="1413" w:type="dxa"/>
            <w:vMerge w:val="continue"/>
          </w:tcPr>
          <w:p>
            <w:pPr>
              <w:spacing w:after="0" w:line="240" w:lineRule="auto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701" w:type="dxa"/>
            <w:vMerge w:val="continue"/>
          </w:tcPr>
          <w:p>
            <w:pPr>
              <w:spacing w:after="0" w:line="240" w:lineRule="auto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4111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仿宋"/>
                <w:sz w:val="24"/>
              </w:rPr>
              <w:t>4分-4.5分（不含4.5分）</w:t>
            </w:r>
          </w:p>
        </w:tc>
        <w:tc>
          <w:tcPr>
            <w:tcW w:w="1071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仿宋"/>
                <w:sz w:val="24"/>
              </w:rPr>
            </w:pPr>
            <w:r>
              <w:rPr>
                <w:rFonts w:hint="eastAsia" w:ascii="宋体" w:hAnsi="宋体" w:eastAsia="宋体" w:cs="仿宋"/>
                <w:sz w:val="24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vMerge w:val="continue"/>
          </w:tcPr>
          <w:p>
            <w:pPr>
              <w:spacing w:after="0" w:line="240" w:lineRule="auto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701" w:type="dxa"/>
            <w:vMerge w:val="continue"/>
          </w:tcPr>
          <w:p>
            <w:pPr>
              <w:spacing w:after="0" w:line="240" w:lineRule="auto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4111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仿宋"/>
                <w:sz w:val="24"/>
              </w:rPr>
              <w:t>3.5分-4分（不含4分）</w:t>
            </w:r>
          </w:p>
        </w:tc>
        <w:tc>
          <w:tcPr>
            <w:tcW w:w="1071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仿宋"/>
                <w:sz w:val="24"/>
              </w:rPr>
            </w:pPr>
            <w:r>
              <w:rPr>
                <w:rFonts w:hint="eastAsia" w:ascii="宋体" w:hAnsi="宋体" w:eastAsia="宋体" w:cs="仿宋"/>
                <w:sz w:val="24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vMerge w:val="continue"/>
          </w:tcPr>
          <w:p>
            <w:pPr>
              <w:spacing w:after="0" w:line="240" w:lineRule="auto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仿宋"/>
                <w:sz w:val="24"/>
              </w:rPr>
              <w:t>英语水平</w:t>
            </w:r>
          </w:p>
        </w:tc>
        <w:tc>
          <w:tcPr>
            <w:tcW w:w="4111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仿宋"/>
                <w:sz w:val="24"/>
              </w:rPr>
              <w:t>英语六级</w:t>
            </w:r>
            <w:r>
              <w:rPr>
                <w:rFonts w:hint="eastAsia" w:ascii="宋体" w:hAnsi="宋体" w:eastAsia="宋体" w:cs="Arial"/>
                <w:sz w:val="24"/>
              </w:rPr>
              <w:t>：</w:t>
            </w:r>
            <w:r>
              <w:rPr>
                <w:rFonts w:hint="eastAsia" w:ascii="宋体" w:hAnsi="宋体" w:eastAsia="宋体" w:cs="仿宋"/>
                <w:sz w:val="24"/>
              </w:rPr>
              <w:t>550分以上</w:t>
            </w:r>
          </w:p>
        </w:tc>
        <w:tc>
          <w:tcPr>
            <w:tcW w:w="1071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仿宋"/>
                <w:sz w:val="24"/>
              </w:rPr>
            </w:pPr>
            <w:r>
              <w:rPr>
                <w:rFonts w:hint="eastAsia" w:ascii="宋体" w:hAnsi="宋体" w:eastAsia="宋体" w:cs="仿宋"/>
                <w:sz w:val="24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vMerge w:val="continue"/>
          </w:tcPr>
          <w:p>
            <w:pPr>
              <w:spacing w:after="0" w:line="240" w:lineRule="auto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701" w:type="dxa"/>
            <w:vMerge w:val="continue"/>
          </w:tcPr>
          <w:p>
            <w:pPr>
              <w:spacing w:after="0" w:line="240" w:lineRule="auto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4111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仿宋"/>
                <w:sz w:val="24"/>
              </w:rPr>
              <w:t>英语六级：500-549分</w:t>
            </w:r>
          </w:p>
        </w:tc>
        <w:tc>
          <w:tcPr>
            <w:tcW w:w="1071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仿宋"/>
                <w:sz w:val="24"/>
              </w:rPr>
            </w:pPr>
            <w:r>
              <w:rPr>
                <w:rFonts w:hint="eastAsia" w:ascii="宋体" w:hAnsi="宋体" w:eastAsia="宋体" w:cs="仿宋"/>
                <w:sz w:val="24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vMerge w:val="continue"/>
          </w:tcPr>
          <w:p>
            <w:pPr>
              <w:spacing w:after="0" w:line="240" w:lineRule="auto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701" w:type="dxa"/>
            <w:vMerge w:val="continue"/>
          </w:tcPr>
          <w:p>
            <w:pPr>
              <w:spacing w:after="0" w:line="240" w:lineRule="auto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4111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仿宋"/>
                <w:sz w:val="24"/>
              </w:rPr>
            </w:pPr>
            <w:r>
              <w:rPr>
                <w:rFonts w:hint="eastAsia" w:ascii="宋体" w:hAnsi="宋体" w:eastAsia="宋体" w:cs="仿宋"/>
                <w:sz w:val="24"/>
              </w:rPr>
              <w:t>英语六级</w:t>
            </w:r>
            <w:r>
              <w:rPr>
                <w:rFonts w:ascii="宋体" w:hAnsi="宋体" w:eastAsia="宋体" w:cs="Arial"/>
                <w:sz w:val="24"/>
              </w:rPr>
              <w:t>≥</w:t>
            </w:r>
            <w:r>
              <w:rPr>
                <w:rFonts w:hint="eastAsia" w:ascii="宋体" w:hAnsi="宋体" w:eastAsia="宋体" w:cs="仿宋"/>
                <w:sz w:val="24"/>
              </w:rPr>
              <w:t>425分</w:t>
            </w:r>
          </w:p>
        </w:tc>
        <w:tc>
          <w:tcPr>
            <w:tcW w:w="1071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仿宋"/>
                <w:sz w:val="24"/>
              </w:rPr>
            </w:pPr>
            <w:r>
              <w:rPr>
                <w:rFonts w:hint="eastAsia" w:ascii="宋体" w:hAnsi="宋体" w:eastAsia="宋体" w:cs="仿宋"/>
                <w:sz w:val="24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vMerge w:val="continue"/>
          </w:tcPr>
          <w:p>
            <w:pPr>
              <w:spacing w:after="0" w:line="240" w:lineRule="auto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701" w:type="dxa"/>
            <w:vMerge w:val="continue"/>
          </w:tcPr>
          <w:p>
            <w:pPr>
              <w:spacing w:after="0" w:line="240" w:lineRule="auto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4111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仿宋"/>
                <w:sz w:val="24"/>
              </w:rPr>
            </w:pPr>
            <w:r>
              <w:rPr>
                <w:rFonts w:hint="eastAsia" w:ascii="宋体" w:hAnsi="宋体" w:eastAsia="宋体" w:cs="仿宋"/>
                <w:sz w:val="24"/>
              </w:rPr>
              <w:t>英语四级</w:t>
            </w:r>
          </w:p>
        </w:tc>
        <w:tc>
          <w:tcPr>
            <w:tcW w:w="1071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仿宋"/>
                <w:sz w:val="24"/>
              </w:rPr>
            </w:pPr>
            <w:r>
              <w:rPr>
                <w:rFonts w:hint="eastAsia" w:ascii="宋体" w:hAnsi="宋体" w:eastAsia="宋体" w:cs="仿宋"/>
                <w:sz w:val="24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国家统一法律职业资格考试</w:t>
            </w:r>
          </w:p>
          <w:p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（10分）</w:t>
            </w:r>
          </w:p>
        </w:tc>
        <w:tc>
          <w:tcPr>
            <w:tcW w:w="5812" w:type="dxa"/>
            <w:gridSpan w:val="2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仿宋"/>
                <w:sz w:val="24"/>
              </w:rPr>
            </w:pPr>
            <w:r>
              <w:rPr>
                <w:rFonts w:hint="eastAsia" w:ascii="宋体" w:hAnsi="宋体" w:eastAsia="宋体" w:cs="仿宋"/>
                <w:sz w:val="24"/>
              </w:rPr>
              <w:t>客观题通过</w:t>
            </w:r>
          </w:p>
        </w:tc>
        <w:tc>
          <w:tcPr>
            <w:tcW w:w="1071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仿宋"/>
                <w:sz w:val="24"/>
              </w:rPr>
            </w:pPr>
            <w:r>
              <w:rPr>
                <w:rFonts w:hint="eastAsia" w:ascii="宋体" w:hAnsi="宋体" w:eastAsia="宋体" w:cs="仿宋"/>
                <w:sz w:val="24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vMerge w:val="restar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学术水平（40分）</w:t>
            </w:r>
          </w:p>
        </w:tc>
        <w:tc>
          <w:tcPr>
            <w:tcW w:w="5812" w:type="dxa"/>
            <w:gridSpan w:val="2"/>
          </w:tcPr>
          <w:p>
            <w:pPr>
              <w:spacing w:after="0" w:line="240" w:lineRule="auto"/>
              <w:rPr>
                <w:rFonts w:hint="eastAsia" w:ascii="宋体" w:hAnsi="宋体" w:eastAsia="宋体" w:cs="仿宋"/>
                <w:sz w:val="24"/>
              </w:rPr>
            </w:pPr>
            <w:r>
              <w:rPr>
                <w:rFonts w:hint="eastAsia" w:ascii="宋体" w:hAnsi="宋体" w:eastAsia="宋体" w:cs="仿宋"/>
                <w:b/>
                <w:bCs/>
                <w:sz w:val="24"/>
              </w:rPr>
              <w:t>优秀</w:t>
            </w:r>
            <w:r>
              <w:rPr>
                <w:rFonts w:hint="eastAsia" w:ascii="宋体" w:hAnsi="宋体" w:eastAsia="宋体" w:cs="仿宋"/>
                <w:sz w:val="24"/>
              </w:rPr>
              <w:t>：学术</w:t>
            </w:r>
            <w:r>
              <w:rPr>
                <w:rFonts w:ascii="宋体" w:hAnsi="宋体" w:eastAsia="宋体" w:cs="仿宋"/>
                <w:sz w:val="24"/>
              </w:rPr>
              <w:t>成果明确提出可聚焦的学术研究问题</w:t>
            </w:r>
            <w:r>
              <w:rPr>
                <w:rFonts w:hint="eastAsia" w:ascii="宋体" w:hAnsi="宋体" w:eastAsia="宋体" w:cs="仿宋"/>
                <w:sz w:val="24"/>
              </w:rPr>
              <w:t>，</w:t>
            </w:r>
            <w:r>
              <w:rPr>
                <w:rFonts w:ascii="宋体" w:hAnsi="宋体" w:eastAsia="宋体" w:cs="仿宋"/>
                <w:sz w:val="24"/>
              </w:rPr>
              <w:t>并围绕该问题完成有说服力的论证，对既有理论或制度认知有实质推进</w:t>
            </w:r>
            <w:r>
              <w:rPr>
                <w:rFonts w:hint="eastAsia" w:ascii="宋体" w:hAnsi="宋体" w:eastAsia="宋体" w:cs="仿宋"/>
                <w:sz w:val="24"/>
              </w:rPr>
              <w:t>，未来有较大的研究潜力；在应用价值上能提供深刻</w:t>
            </w:r>
            <w:r>
              <w:rPr>
                <w:rFonts w:ascii="宋体" w:hAnsi="宋体" w:eastAsia="宋体" w:cs="仿宋"/>
                <w:sz w:val="24"/>
              </w:rPr>
              <w:t>的制度启示</w:t>
            </w:r>
            <w:r>
              <w:rPr>
                <w:rFonts w:hint="eastAsia" w:ascii="宋体" w:hAnsi="宋体" w:eastAsia="宋体" w:cs="仿宋"/>
                <w:sz w:val="24"/>
              </w:rPr>
              <w:t>或反思；个人独立完成学术成果的主要部分，对核心问题的贡献突出。</w:t>
            </w:r>
          </w:p>
        </w:tc>
        <w:tc>
          <w:tcPr>
            <w:tcW w:w="1071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仿宋"/>
                <w:sz w:val="24"/>
              </w:rPr>
            </w:pPr>
            <w:r>
              <w:rPr>
                <w:rFonts w:hint="eastAsia" w:ascii="宋体" w:hAnsi="宋体" w:eastAsia="宋体" w:cs="仿宋"/>
                <w:sz w:val="24"/>
              </w:rPr>
              <w:t>31-40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vMerge w:val="continue"/>
          </w:tcPr>
          <w:p>
            <w:pPr>
              <w:spacing w:after="0" w:line="240" w:lineRule="auto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5812" w:type="dxa"/>
            <w:gridSpan w:val="2"/>
          </w:tcPr>
          <w:p>
            <w:pPr>
              <w:spacing w:after="0" w:line="240" w:lineRule="auto"/>
              <w:rPr>
                <w:rFonts w:hint="eastAsia" w:ascii="宋体" w:hAnsi="宋体" w:eastAsia="宋体" w:cs="仿宋"/>
                <w:sz w:val="24"/>
              </w:rPr>
            </w:pPr>
            <w:r>
              <w:rPr>
                <w:rFonts w:hint="eastAsia" w:ascii="宋体" w:hAnsi="宋体" w:eastAsia="宋体" w:cs="仿宋"/>
                <w:b/>
                <w:bCs/>
                <w:sz w:val="24"/>
              </w:rPr>
              <w:t>良好</w:t>
            </w:r>
            <w:r>
              <w:rPr>
                <w:rFonts w:hint="eastAsia" w:ascii="宋体" w:hAnsi="宋体" w:eastAsia="宋体" w:cs="仿宋"/>
                <w:sz w:val="24"/>
              </w:rPr>
              <w:t>：学术成果</w:t>
            </w:r>
            <w:r>
              <w:rPr>
                <w:rFonts w:ascii="宋体" w:hAnsi="宋体" w:eastAsia="宋体" w:cs="仿宋"/>
                <w:sz w:val="24"/>
              </w:rPr>
              <w:t>能</w:t>
            </w:r>
            <w:r>
              <w:rPr>
                <w:rFonts w:hint="eastAsia" w:ascii="宋体" w:hAnsi="宋体" w:eastAsia="宋体" w:cs="仿宋"/>
                <w:sz w:val="24"/>
              </w:rPr>
              <w:t>够</w:t>
            </w:r>
            <w:r>
              <w:rPr>
                <w:rFonts w:ascii="宋体" w:hAnsi="宋体" w:eastAsia="宋体" w:cs="仿宋"/>
                <w:sz w:val="24"/>
              </w:rPr>
              <w:t>运用文献、规范或比较法材料</w:t>
            </w:r>
            <w:r>
              <w:rPr>
                <w:rFonts w:hint="eastAsia" w:ascii="宋体" w:hAnsi="宋体" w:eastAsia="宋体" w:cs="仿宋"/>
                <w:sz w:val="24"/>
              </w:rPr>
              <w:t>分析并提炼研究</w:t>
            </w:r>
            <w:r>
              <w:rPr>
                <w:rFonts w:ascii="宋体" w:hAnsi="宋体" w:eastAsia="宋体" w:cs="仿宋"/>
                <w:sz w:val="24"/>
              </w:rPr>
              <w:t>问题</w:t>
            </w:r>
            <w:r>
              <w:rPr>
                <w:rFonts w:hint="eastAsia" w:ascii="宋体" w:hAnsi="宋体" w:eastAsia="宋体" w:cs="仿宋"/>
                <w:sz w:val="24"/>
              </w:rPr>
              <w:t>、展开论证</w:t>
            </w:r>
            <w:r>
              <w:rPr>
                <w:rFonts w:ascii="宋体" w:hAnsi="宋体" w:eastAsia="宋体" w:cs="仿宋"/>
                <w:sz w:val="24"/>
              </w:rPr>
              <w:t>；</w:t>
            </w:r>
            <w:r>
              <w:rPr>
                <w:rFonts w:hint="eastAsia" w:ascii="宋体" w:hAnsi="宋体" w:eastAsia="宋体" w:cs="仿宋"/>
                <w:sz w:val="24"/>
              </w:rPr>
              <w:t>在应用价值上</w:t>
            </w:r>
            <w:r>
              <w:rPr>
                <w:rFonts w:ascii="宋体" w:hAnsi="宋体" w:eastAsia="宋体" w:cs="仿宋"/>
                <w:sz w:val="24"/>
              </w:rPr>
              <w:t>有一定针对性，对制度改进有参考意义</w:t>
            </w:r>
            <w:r>
              <w:rPr>
                <w:rFonts w:hint="eastAsia" w:ascii="宋体" w:hAnsi="宋体" w:eastAsia="宋体" w:cs="仿宋"/>
                <w:sz w:val="24"/>
              </w:rPr>
              <w:t>；个人</w:t>
            </w:r>
            <w:r>
              <w:rPr>
                <w:rFonts w:ascii="宋体" w:hAnsi="宋体" w:eastAsia="宋体" w:cs="仿宋"/>
                <w:sz w:val="24"/>
              </w:rPr>
              <w:t>独立完成</w:t>
            </w:r>
            <w:r>
              <w:rPr>
                <w:rFonts w:hint="eastAsia" w:ascii="宋体" w:hAnsi="宋体" w:eastAsia="宋体" w:cs="仿宋"/>
                <w:sz w:val="24"/>
              </w:rPr>
              <w:t>学术成果的部分内容，但对核心内容的贡献有限。</w:t>
            </w:r>
          </w:p>
        </w:tc>
        <w:tc>
          <w:tcPr>
            <w:tcW w:w="1071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仿宋"/>
                <w:sz w:val="24"/>
              </w:rPr>
            </w:pPr>
            <w:r>
              <w:rPr>
                <w:rFonts w:hint="eastAsia" w:ascii="宋体" w:hAnsi="宋体" w:eastAsia="宋体" w:cs="仿宋"/>
                <w:sz w:val="24"/>
              </w:rPr>
              <w:t>21-30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vMerge w:val="continue"/>
            <w:tcBorders>
              <w:bottom w:val="single" w:color="auto" w:sz="4" w:space="0"/>
            </w:tcBorders>
          </w:tcPr>
          <w:p>
            <w:pPr>
              <w:spacing w:after="0" w:line="240" w:lineRule="auto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5812" w:type="dxa"/>
            <w:gridSpan w:val="2"/>
            <w:tcBorders>
              <w:bottom w:val="single" w:color="auto" w:sz="4" w:space="0"/>
            </w:tcBorders>
          </w:tcPr>
          <w:p>
            <w:pPr>
              <w:spacing w:after="0" w:line="240" w:lineRule="auto"/>
              <w:rPr>
                <w:rFonts w:hint="eastAsia" w:ascii="宋体" w:hAnsi="宋体" w:eastAsia="宋体" w:cs="仿宋"/>
                <w:sz w:val="24"/>
              </w:rPr>
            </w:pPr>
            <w:r>
              <w:rPr>
                <w:rFonts w:hint="eastAsia" w:ascii="宋体" w:hAnsi="宋体" w:eastAsia="宋体" w:cs="仿宋"/>
                <w:b/>
                <w:bCs/>
                <w:sz w:val="24"/>
              </w:rPr>
              <w:t>普通</w:t>
            </w:r>
            <w:r>
              <w:rPr>
                <w:rFonts w:hint="eastAsia" w:ascii="宋体" w:hAnsi="宋体" w:eastAsia="宋体" w:cs="仿宋"/>
                <w:sz w:val="24"/>
              </w:rPr>
              <w:t>：主要停留在简单的政策背景描述或宽泛主题层面，未形成清晰、可论证的研究问题；对策建议空泛；个人对成果贡献主要表现为辅助性工作。</w:t>
            </w:r>
          </w:p>
        </w:tc>
        <w:tc>
          <w:tcPr>
            <w:tcW w:w="1071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仿宋"/>
                <w:sz w:val="24"/>
              </w:rPr>
            </w:pPr>
            <w:r>
              <w:rPr>
                <w:rFonts w:hint="eastAsia" w:ascii="宋体" w:hAnsi="宋体" w:eastAsia="宋体" w:cs="仿宋"/>
                <w:sz w:val="24"/>
              </w:rPr>
              <w:t>10-20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13" w:type="dxa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奖励荣誉</w:t>
            </w:r>
          </w:p>
          <w:p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（</w:t>
            </w:r>
            <w:r>
              <w:rPr>
                <w:rFonts w:ascii="宋体" w:hAnsi="宋体" w:eastAsia="宋体"/>
                <w:sz w:val="24"/>
              </w:rPr>
              <w:t>20分）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仿宋"/>
                <w:sz w:val="24"/>
              </w:rPr>
            </w:pPr>
            <w:r>
              <w:rPr>
                <w:rFonts w:hint="eastAsia" w:ascii="宋体" w:hAnsi="宋体" w:eastAsia="宋体" w:cs="仿宋"/>
                <w:sz w:val="24"/>
              </w:rPr>
              <w:t>国家级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hint="eastAsia" w:ascii="宋体" w:hAnsi="宋体" w:eastAsia="宋体" w:cs="仿宋"/>
                <w:sz w:val="24"/>
              </w:rPr>
            </w:pPr>
            <w:r>
              <w:rPr>
                <w:rFonts w:hint="eastAsia" w:ascii="宋体" w:hAnsi="宋体" w:eastAsia="宋体" w:cs="仿宋"/>
                <w:sz w:val="24"/>
              </w:rPr>
              <w:t>国家奖学金、国家励志奖学金、团中央优秀团干部（团员）等</w:t>
            </w:r>
          </w:p>
        </w:tc>
        <w:tc>
          <w:tcPr>
            <w:tcW w:w="1071" w:type="dxa"/>
            <w:tcBorders>
              <w:lef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仿宋"/>
                <w:sz w:val="24"/>
              </w:rPr>
            </w:pPr>
            <w:r>
              <w:rPr>
                <w:rFonts w:hint="eastAsia" w:ascii="宋体" w:hAnsi="宋体" w:eastAsia="宋体" w:cs="仿宋"/>
                <w:sz w:val="24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13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仿宋"/>
                <w:sz w:val="24"/>
              </w:rPr>
            </w:pPr>
            <w:r>
              <w:rPr>
                <w:rFonts w:hint="eastAsia" w:ascii="宋体" w:hAnsi="宋体" w:eastAsia="宋体" w:cs="仿宋"/>
                <w:sz w:val="24"/>
              </w:rPr>
              <w:t>省部级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hint="eastAsia" w:ascii="宋体" w:hAnsi="宋体" w:eastAsia="宋体" w:cs="仿宋"/>
                <w:sz w:val="24"/>
              </w:rPr>
            </w:pPr>
            <w:r>
              <w:rPr>
                <w:rFonts w:hint="eastAsia" w:ascii="宋体" w:hAnsi="宋体" w:eastAsia="宋体" w:cs="仿宋"/>
                <w:sz w:val="24"/>
              </w:rPr>
              <w:t>教育厅、团省委等政府机构的奖励荣誉等</w:t>
            </w:r>
          </w:p>
        </w:tc>
        <w:tc>
          <w:tcPr>
            <w:tcW w:w="1071" w:type="dxa"/>
            <w:tcBorders>
              <w:lef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仿宋"/>
                <w:sz w:val="24"/>
              </w:rPr>
            </w:pPr>
            <w:r>
              <w:rPr>
                <w:rFonts w:hint="eastAsia" w:ascii="宋体" w:hAnsi="宋体" w:eastAsia="宋体" w:cs="仿宋"/>
                <w:sz w:val="24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13" w:type="dxa"/>
            <w:vMerge w:val="continue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after="0" w:line="240" w:lineRule="auto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仿宋"/>
                <w:sz w:val="24"/>
              </w:rPr>
            </w:pPr>
            <w:r>
              <w:rPr>
                <w:rFonts w:hint="eastAsia" w:ascii="宋体" w:hAnsi="宋体" w:eastAsia="宋体" w:cs="仿宋"/>
                <w:sz w:val="24"/>
              </w:rPr>
              <w:t>校级</w:t>
            </w:r>
          </w:p>
        </w:tc>
        <w:tc>
          <w:tcPr>
            <w:tcW w:w="411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hint="eastAsia" w:ascii="宋体" w:hAnsi="宋体" w:eastAsia="宋体" w:cs="仿宋"/>
                <w:sz w:val="24"/>
              </w:rPr>
            </w:pPr>
            <w:r>
              <w:rPr>
                <w:rFonts w:hint="eastAsia" w:ascii="宋体" w:hAnsi="宋体" w:eastAsia="宋体" w:cs="仿宋"/>
                <w:sz w:val="24"/>
              </w:rPr>
              <w:t>校级优秀共青团员、优秀学生干部、优秀实践个人等</w:t>
            </w:r>
          </w:p>
        </w:tc>
        <w:tc>
          <w:tcPr>
            <w:tcW w:w="1071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仿宋"/>
                <w:sz w:val="24"/>
              </w:rPr>
            </w:pPr>
            <w:r>
              <w:rPr>
                <w:rFonts w:hint="eastAsia" w:ascii="宋体" w:hAnsi="宋体" w:eastAsia="宋体" w:cs="仿宋"/>
                <w:sz w:val="24"/>
              </w:rPr>
              <w:t>5</w:t>
            </w:r>
          </w:p>
        </w:tc>
      </w:tr>
    </w:tbl>
    <w:p>
      <w:pPr>
        <w:spacing w:after="0" w:line="240" w:lineRule="auto"/>
        <w:rPr>
          <w:rFonts w:hint="eastAsia" w:ascii="宋体" w:hAnsi="宋体" w:eastAsia="宋体"/>
          <w:b/>
          <w:bCs/>
        </w:rPr>
      </w:pPr>
      <w:r>
        <w:rPr>
          <w:rFonts w:hint="eastAsia" w:ascii="宋体" w:hAnsi="宋体" w:eastAsia="宋体"/>
          <w:b/>
          <w:bCs/>
        </w:rPr>
        <w:t>注：</w:t>
      </w:r>
    </w:p>
    <w:p>
      <w:pPr>
        <w:spacing w:after="0" w:line="240" w:lineRule="auto"/>
        <w:ind w:firstLine="442" w:firstLineChars="200"/>
        <w:rPr>
          <w:rFonts w:hint="eastAsia" w:ascii="宋体" w:hAnsi="宋体" w:eastAsia="宋体"/>
          <w:b/>
          <w:bCs/>
        </w:rPr>
      </w:pPr>
      <w:r>
        <w:rPr>
          <w:rFonts w:hint="eastAsia" w:ascii="宋体" w:hAnsi="宋体" w:eastAsia="宋体"/>
          <w:b/>
          <w:bCs/>
        </w:rPr>
        <w:t>1.本表所列国家级、省部级以证书或文件的公章为准，只认可政府部门、一级学会（协会）所颁发的。一级学会（协会）以民政部全国社会组织查询系统查询结果为准；</w:t>
      </w:r>
    </w:p>
    <w:p>
      <w:pPr>
        <w:spacing w:after="0" w:line="240" w:lineRule="auto"/>
        <w:ind w:firstLine="442" w:firstLineChars="200"/>
        <w:rPr>
          <w:rFonts w:hint="eastAsia" w:ascii="宋体" w:hAnsi="宋体" w:eastAsia="宋体"/>
          <w:b/>
          <w:bCs/>
        </w:rPr>
      </w:pPr>
      <w:r>
        <w:rPr>
          <w:rFonts w:hint="eastAsia" w:ascii="宋体" w:hAnsi="宋体" w:eastAsia="宋体"/>
          <w:b/>
          <w:bCs/>
        </w:rPr>
        <w:t>2.学业成绩、奖励荣誉中的各项加分总和不超过该审核项目的最高分。例如奖励荣誉中的各项加分总和不超过20分；</w:t>
      </w:r>
    </w:p>
    <w:p>
      <w:pPr>
        <w:spacing w:after="0" w:line="240" w:lineRule="auto"/>
        <w:ind w:firstLine="442" w:firstLineChars="200"/>
        <w:rPr>
          <w:rFonts w:hint="eastAsia" w:ascii="宋体" w:hAnsi="宋体" w:eastAsia="宋体"/>
          <w:b/>
          <w:bCs/>
        </w:rPr>
      </w:pPr>
      <w:r>
        <w:rPr>
          <w:rFonts w:hint="eastAsia" w:ascii="宋体" w:hAnsi="宋体" w:eastAsia="宋体"/>
          <w:b/>
          <w:bCs/>
        </w:rPr>
        <w:t>3.同一类型证书或比赛得分取最高项，例如学生同时提交国家级和省级“学宪法讲宪法”活动获奖，以国家级获奖计分。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F2D"/>
    <w:rsid w:val="000845CE"/>
    <w:rsid w:val="000E2396"/>
    <w:rsid w:val="0010698A"/>
    <w:rsid w:val="00106D3D"/>
    <w:rsid w:val="00151D82"/>
    <w:rsid w:val="0018398C"/>
    <w:rsid w:val="001B0680"/>
    <w:rsid w:val="001B2B0E"/>
    <w:rsid w:val="001D473F"/>
    <w:rsid w:val="001F5A7C"/>
    <w:rsid w:val="00276A91"/>
    <w:rsid w:val="00281D1F"/>
    <w:rsid w:val="002C0B44"/>
    <w:rsid w:val="00363563"/>
    <w:rsid w:val="003C5924"/>
    <w:rsid w:val="004535D2"/>
    <w:rsid w:val="004B3C82"/>
    <w:rsid w:val="005D4290"/>
    <w:rsid w:val="00630AE3"/>
    <w:rsid w:val="00681383"/>
    <w:rsid w:val="00763D04"/>
    <w:rsid w:val="008609D7"/>
    <w:rsid w:val="008A4F2D"/>
    <w:rsid w:val="008E4020"/>
    <w:rsid w:val="00985C4C"/>
    <w:rsid w:val="009A603A"/>
    <w:rsid w:val="00A3401B"/>
    <w:rsid w:val="00AE1B5B"/>
    <w:rsid w:val="00B013E5"/>
    <w:rsid w:val="00B108B0"/>
    <w:rsid w:val="00B1772A"/>
    <w:rsid w:val="00B251D0"/>
    <w:rsid w:val="00C72966"/>
    <w:rsid w:val="00CC4ECF"/>
    <w:rsid w:val="00D27CE6"/>
    <w:rsid w:val="00D70BEA"/>
    <w:rsid w:val="00D90E36"/>
    <w:rsid w:val="00DB5912"/>
    <w:rsid w:val="00DD2E06"/>
    <w:rsid w:val="00E42FC6"/>
    <w:rsid w:val="00E95AE3"/>
    <w:rsid w:val="00EC1A50"/>
    <w:rsid w:val="00EC34AF"/>
    <w:rsid w:val="00FC6771"/>
    <w:rsid w:val="00FD2A62"/>
    <w:rsid w:val="46FD0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6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uiPriority w:val="9"/>
    <w:rPr>
      <w:rFonts w:cstheme="majorBidi"/>
      <w:color w:val="104862" w:themeColor="accent1" w:themeShade="BF"/>
      <w:sz w:val="24"/>
    </w:rPr>
  </w:style>
  <w:style w:type="character" w:customStyle="1" w:styleId="23">
    <w:name w:val="标题 6 字符"/>
    <w:basedOn w:val="17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7"/>
    <w:link w:val="33"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7"/>
    <w:link w:val="12"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121</Words>
  <Characters>696</Characters>
  <Lines>5</Lines>
  <Paragraphs>1</Paragraphs>
  <TotalTime>316</TotalTime>
  <ScaleCrop>false</ScaleCrop>
  <LinksUpToDate>false</LinksUpToDate>
  <CharactersWithSpaces>816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2026-09-24T06:57:00Z</dcterms:created>
  <dc:creator>chef yuli</dc:creator>
  <cp:lastModifiedBy>Guilty</cp:lastModifiedBy>
  <dcterms:modified xsi:type="dcterms:W3CDTF">2026-09-24T15:19:18Z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</Properties>
</file>