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both"/>
        <w:rPr>
          <w:rFonts w:hint="eastAsia" w:ascii="黑体" w:hAnsi="宋体" w:eastAsia="黑体"/>
          <w:b/>
          <w:sz w:val="32"/>
          <w:szCs w:val="32"/>
          <w:lang w:eastAsia="zh-CN"/>
        </w:rPr>
      </w:pPr>
      <w:r>
        <w:rPr>
          <w:rFonts w:hint="eastAsia" w:ascii="黑体" w:hAnsi="宋体" w:eastAsia="黑体"/>
          <w:b/>
          <w:sz w:val="32"/>
          <w:szCs w:val="32"/>
          <w:lang w:eastAsia="zh-CN"/>
        </w:rPr>
        <w:t>附件</w:t>
      </w:r>
      <w:r>
        <w:rPr>
          <w:rFonts w:hint="eastAsia" w:ascii="黑体" w:hAnsi="宋体" w:eastAsia="黑体"/>
          <w:b/>
          <w:sz w:val="32"/>
          <w:szCs w:val="32"/>
          <w:lang w:val="en-US" w:eastAsia="zh-CN"/>
        </w:rPr>
        <w:t>2：</w:t>
      </w:r>
      <w:r>
        <w:rPr>
          <w:rFonts w:hint="eastAsia" w:ascii="黑体" w:hAnsi="宋体" w:eastAsia="黑体"/>
          <w:b/>
          <w:sz w:val="32"/>
          <w:szCs w:val="32"/>
        </w:rPr>
        <w:t>海南师范大学201</w:t>
      </w:r>
      <w:r>
        <w:rPr>
          <w:rFonts w:hint="eastAsia" w:ascii="黑体" w:hAnsi="宋体" w:eastAsia="黑体"/>
          <w:b/>
          <w:sz w:val="32"/>
          <w:szCs w:val="32"/>
          <w:lang w:val="en-US" w:eastAsia="zh-CN"/>
        </w:rPr>
        <w:t>9</w:t>
      </w:r>
      <w:r>
        <w:rPr>
          <w:rFonts w:hint="eastAsia" w:ascii="黑体" w:hAnsi="宋体" w:eastAsia="黑体"/>
          <w:b/>
          <w:sz w:val="32"/>
          <w:szCs w:val="32"/>
        </w:rPr>
        <w:t>年大学生创业训练、创业实践项目</w:t>
      </w:r>
      <w:r>
        <w:rPr>
          <w:rFonts w:hint="eastAsia" w:ascii="黑体" w:hAnsi="宋体" w:eastAsia="黑体"/>
          <w:b/>
          <w:sz w:val="32"/>
          <w:szCs w:val="32"/>
          <w:lang w:eastAsia="zh-CN"/>
        </w:rPr>
        <w:t>申报答辩打分表</w:t>
      </w:r>
    </w:p>
    <w:tbl>
      <w:tblPr>
        <w:tblStyle w:val="4"/>
        <w:tblW w:w="9828" w:type="dxa"/>
        <w:tblInd w:w="-79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6050"/>
        <w:gridCol w:w="784"/>
        <w:gridCol w:w="1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72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评审要点</w:t>
            </w:r>
          </w:p>
        </w:tc>
        <w:tc>
          <w:tcPr>
            <w:tcW w:w="6050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评审内容</w:t>
            </w:r>
          </w:p>
        </w:tc>
        <w:tc>
          <w:tcPr>
            <w:tcW w:w="7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</w:rPr>
              <w:t>分值</w:t>
            </w:r>
          </w:p>
        </w:tc>
        <w:tc>
          <w:tcPr>
            <w:tcW w:w="12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szCs w:val="24"/>
                <w:lang w:eastAsia="zh-CN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725" w:type="dxa"/>
            <w:vAlign w:val="center"/>
          </w:tcPr>
          <w:p>
            <w:pPr>
              <w:numPr>
                <w:ilvl w:val="0"/>
                <w:numId w:val="0"/>
              </w:num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项目概述</w:t>
            </w:r>
          </w:p>
        </w:tc>
        <w:tc>
          <w:tcPr>
            <w:tcW w:w="6050" w:type="dxa"/>
            <w:vAlign w:val="top"/>
          </w:tcPr>
          <w:p>
            <w:pPr>
              <w:numPr>
                <w:ilvl w:val="0"/>
                <w:numId w:val="0"/>
              </w:numPr>
              <w:spacing w:line="480" w:lineRule="exact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简明、扼要，能有效概括整个计划；具有鲜明的个性，具有吸引力；有明确的思路和目标；能突出自身特有的优势。</w:t>
            </w:r>
          </w:p>
        </w:tc>
        <w:tc>
          <w:tcPr>
            <w:tcW w:w="784" w:type="dxa"/>
            <w:vAlign w:val="center"/>
          </w:tcPr>
          <w:p>
            <w:pPr>
              <w:numPr>
                <w:ilvl w:val="0"/>
                <w:numId w:val="0"/>
              </w:num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69" w:type="dxa"/>
            <w:vAlign w:val="center"/>
          </w:tcPr>
          <w:p>
            <w:pPr>
              <w:numPr>
                <w:ilvl w:val="0"/>
                <w:numId w:val="0"/>
              </w:num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72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项目开发创意</w:t>
            </w:r>
          </w:p>
        </w:tc>
        <w:tc>
          <w:tcPr>
            <w:tcW w:w="6050" w:type="dxa"/>
            <w:vAlign w:val="top"/>
          </w:tcPr>
          <w:p>
            <w:pPr>
              <w:numPr>
                <w:ilvl w:val="0"/>
                <w:numId w:val="0"/>
              </w:numPr>
              <w:spacing w:line="480" w:lineRule="exact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突出原始创意的价值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创意独特新颖，创新力度大。</w:t>
            </w:r>
          </w:p>
        </w:tc>
        <w:tc>
          <w:tcPr>
            <w:tcW w:w="7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0</w:t>
            </w:r>
          </w:p>
        </w:tc>
        <w:tc>
          <w:tcPr>
            <w:tcW w:w="12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25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团队情况</w:t>
            </w:r>
          </w:p>
        </w:tc>
        <w:tc>
          <w:tcPr>
            <w:tcW w:w="6050" w:type="dxa"/>
            <w:vAlign w:val="top"/>
          </w:tcPr>
          <w:p>
            <w:pPr>
              <w:numPr>
                <w:ilvl w:val="0"/>
                <w:numId w:val="0"/>
              </w:numPr>
              <w:spacing w:line="480" w:lineRule="exact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注重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管理团队各成员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创新创业理念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、价值观念、擅长领域，成员的分工和业务互补情况；</w:t>
            </w:r>
          </w:p>
        </w:tc>
        <w:tc>
          <w:tcPr>
            <w:tcW w:w="7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5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050" w:type="dxa"/>
            <w:vAlign w:val="top"/>
          </w:tcPr>
          <w:p>
            <w:pPr>
              <w:numPr>
                <w:ilvl w:val="0"/>
                <w:numId w:val="0"/>
              </w:numPr>
              <w:spacing w:line="480" w:lineRule="exact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项目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的组织构架、人员配置安排是否科学；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项目的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主要投资人和持股情况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是否明确，股权结构是否清晰合理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；</w:t>
            </w:r>
          </w:p>
        </w:tc>
        <w:tc>
          <w:tcPr>
            <w:tcW w:w="7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1725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商业性</w:t>
            </w:r>
          </w:p>
        </w:tc>
        <w:tc>
          <w:tcPr>
            <w:tcW w:w="6050" w:type="dxa"/>
            <w:vAlign w:val="top"/>
          </w:tcPr>
          <w:p>
            <w:pPr>
              <w:numPr>
                <w:ilvl w:val="0"/>
                <w:numId w:val="0"/>
              </w:numPr>
              <w:spacing w:line="480" w:lineRule="exact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在机会识别与利用、竞争与合作、技术基础、产品或服务设计、现行法律法规限制等方面具有可行性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；</w:t>
            </w:r>
          </w:p>
        </w:tc>
        <w:tc>
          <w:tcPr>
            <w:tcW w:w="7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1725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6050" w:type="dxa"/>
            <w:vAlign w:val="top"/>
          </w:tcPr>
          <w:p>
            <w:pPr>
              <w:numPr>
                <w:ilvl w:val="0"/>
                <w:numId w:val="0"/>
              </w:numPr>
              <w:spacing w:line="480" w:lineRule="exact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在调查研究方面，考察行业调查研究程度，项目市场、技术等调查工作是否形成一手资料，不鼓励文献调查，强调田野调查和实际操作检验。</w:t>
            </w:r>
          </w:p>
        </w:tc>
        <w:tc>
          <w:tcPr>
            <w:tcW w:w="7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725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财务分析</w:t>
            </w:r>
          </w:p>
        </w:tc>
        <w:tc>
          <w:tcPr>
            <w:tcW w:w="6050" w:type="dxa"/>
            <w:vAlign w:val="top"/>
          </w:tcPr>
          <w:p>
            <w:pPr>
              <w:numPr>
                <w:ilvl w:val="0"/>
                <w:numId w:val="0"/>
              </w:numPr>
              <w:spacing w:line="480" w:lineRule="exact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资金来源和运用，盈利模式、盈利能力分析清晰</w:t>
            </w:r>
          </w:p>
        </w:tc>
        <w:tc>
          <w:tcPr>
            <w:tcW w:w="7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725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6050" w:type="dxa"/>
            <w:vAlign w:val="top"/>
          </w:tcPr>
          <w:p>
            <w:pPr>
              <w:numPr>
                <w:ilvl w:val="0"/>
                <w:numId w:val="0"/>
              </w:numPr>
              <w:spacing w:line="480" w:lineRule="exact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客观阐述本项目面临的财务风险分析，并提出合理可行的规避、推出计划</w:t>
            </w:r>
          </w:p>
        </w:tc>
        <w:tc>
          <w:tcPr>
            <w:tcW w:w="7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725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营销策略</w:t>
            </w:r>
          </w:p>
        </w:tc>
        <w:tc>
          <w:tcPr>
            <w:tcW w:w="6050" w:type="dxa"/>
            <w:vAlign w:val="top"/>
          </w:tcPr>
          <w:p>
            <w:pPr>
              <w:numPr>
                <w:ilvl w:val="0"/>
                <w:numId w:val="0"/>
              </w:numPr>
              <w:spacing w:line="480" w:lineRule="exact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营销策略具有创新性，对顾客具有潜在的吸引力，成本及定价合理，营销渠道顺畅，有一定创新。</w:t>
            </w:r>
          </w:p>
        </w:tc>
        <w:tc>
          <w:tcPr>
            <w:tcW w:w="7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2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725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提升愿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景</w:t>
            </w:r>
          </w:p>
        </w:tc>
        <w:tc>
          <w:tcPr>
            <w:tcW w:w="6050" w:type="dxa"/>
            <w:vAlign w:val="top"/>
          </w:tcPr>
          <w:p>
            <w:pPr>
              <w:numPr>
                <w:ilvl w:val="0"/>
                <w:numId w:val="0"/>
              </w:numPr>
              <w:spacing w:line="480" w:lineRule="exact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明确项目结项时的预期目标；</w:t>
            </w:r>
          </w:p>
        </w:tc>
        <w:tc>
          <w:tcPr>
            <w:tcW w:w="7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1725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6050" w:type="dxa"/>
            <w:vAlign w:val="top"/>
          </w:tcPr>
          <w:p>
            <w:pPr>
              <w:numPr>
                <w:ilvl w:val="0"/>
                <w:numId w:val="0"/>
              </w:numPr>
              <w:spacing w:line="480" w:lineRule="exact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预判项目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发展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可能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给团队成员带来的创新创业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能力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提升描述；</w:t>
            </w:r>
          </w:p>
        </w:tc>
        <w:tc>
          <w:tcPr>
            <w:tcW w:w="7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1725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6050" w:type="dxa"/>
            <w:vAlign w:val="top"/>
          </w:tcPr>
          <w:p>
            <w:pPr>
              <w:numPr>
                <w:ilvl w:val="0"/>
                <w:numId w:val="0"/>
              </w:numPr>
              <w:spacing w:line="480" w:lineRule="exact"/>
              <w:jc w:val="both"/>
              <w:rPr>
                <w:rFonts w:hint="eastAsia"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预判项目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发展如何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能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促进团队成员个人创业素质和带动社会就业创业的描述。</w:t>
            </w:r>
          </w:p>
        </w:tc>
        <w:tc>
          <w:tcPr>
            <w:tcW w:w="7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775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spacing w:line="48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784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269" w:type="dxa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>
      <w:r>
        <w:rPr>
          <w:rFonts w:hint="eastAsia"/>
          <w:sz w:val="32"/>
          <w:szCs w:val="32"/>
        </w:rPr>
        <w:t>专家签名：                         评审时间：</w:t>
      </w:r>
    </w:p>
    <w:sectPr>
      <w:pgSz w:w="11906" w:h="16838"/>
      <w:pgMar w:top="1100" w:right="1633" w:bottom="110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F7F"/>
    <w:rsid w:val="00035D80"/>
    <w:rsid w:val="00051F55"/>
    <w:rsid w:val="000C1C19"/>
    <w:rsid w:val="001E0BDA"/>
    <w:rsid w:val="002D0A61"/>
    <w:rsid w:val="002D2264"/>
    <w:rsid w:val="002E0149"/>
    <w:rsid w:val="0034064D"/>
    <w:rsid w:val="00342869"/>
    <w:rsid w:val="00351E4B"/>
    <w:rsid w:val="003E0D83"/>
    <w:rsid w:val="003E567C"/>
    <w:rsid w:val="00420CF4"/>
    <w:rsid w:val="00467173"/>
    <w:rsid w:val="004A7A15"/>
    <w:rsid w:val="004C4A31"/>
    <w:rsid w:val="004F37A7"/>
    <w:rsid w:val="004F70D3"/>
    <w:rsid w:val="00534FD5"/>
    <w:rsid w:val="005633AB"/>
    <w:rsid w:val="005817E7"/>
    <w:rsid w:val="005F6061"/>
    <w:rsid w:val="0060479F"/>
    <w:rsid w:val="00617A67"/>
    <w:rsid w:val="00695B5E"/>
    <w:rsid w:val="006B1233"/>
    <w:rsid w:val="007525CA"/>
    <w:rsid w:val="00803F41"/>
    <w:rsid w:val="00813F7F"/>
    <w:rsid w:val="00873313"/>
    <w:rsid w:val="00935D8E"/>
    <w:rsid w:val="0094252A"/>
    <w:rsid w:val="00975503"/>
    <w:rsid w:val="009E45C2"/>
    <w:rsid w:val="00A427D0"/>
    <w:rsid w:val="00A56551"/>
    <w:rsid w:val="00A912BA"/>
    <w:rsid w:val="00AB1F76"/>
    <w:rsid w:val="00AC06AB"/>
    <w:rsid w:val="00B227A7"/>
    <w:rsid w:val="00B513DF"/>
    <w:rsid w:val="00B83377"/>
    <w:rsid w:val="00B9188B"/>
    <w:rsid w:val="00B94F1E"/>
    <w:rsid w:val="00B97B8C"/>
    <w:rsid w:val="00BA2A1F"/>
    <w:rsid w:val="00BB21E9"/>
    <w:rsid w:val="00BF086C"/>
    <w:rsid w:val="00D44223"/>
    <w:rsid w:val="00D53CE5"/>
    <w:rsid w:val="00D76FA8"/>
    <w:rsid w:val="00E13AEA"/>
    <w:rsid w:val="00E61D2F"/>
    <w:rsid w:val="00ED4EE6"/>
    <w:rsid w:val="00F25CF8"/>
    <w:rsid w:val="00F85B83"/>
    <w:rsid w:val="00FA6176"/>
    <w:rsid w:val="00FD412C"/>
    <w:rsid w:val="0EA41E3E"/>
    <w:rsid w:val="14316827"/>
    <w:rsid w:val="18E77D1F"/>
    <w:rsid w:val="1AE843D8"/>
    <w:rsid w:val="248A6BDD"/>
    <w:rsid w:val="26385420"/>
    <w:rsid w:val="338B0A8A"/>
    <w:rsid w:val="37466971"/>
    <w:rsid w:val="37F01D07"/>
    <w:rsid w:val="3B111A62"/>
    <w:rsid w:val="40C92743"/>
    <w:rsid w:val="4670122E"/>
    <w:rsid w:val="5129739E"/>
    <w:rsid w:val="5D257C96"/>
    <w:rsid w:val="6A171021"/>
    <w:rsid w:val="6A1B6922"/>
    <w:rsid w:val="6D244EC0"/>
    <w:rsid w:val="79783CDA"/>
    <w:rsid w:val="7A3F58B3"/>
    <w:rsid w:val="7B913D2E"/>
    <w:rsid w:val="7C8E5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nhideWhenUsed/>
    <w:qFormat/>
    <w:uiPriority w:val="99"/>
    <w:rPr>
      <w:rFonts w:ascii="Times New Roman" w:hAnsi="Times New Roman" w:eastAsia="宋体" w:cs="Times New Roman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235</Words>
  <Characters>251</Characters>
  <Lines>14</Lines>
  <Paragraphs>15</Paragraphs>
  <TotalTime>14</TotalTime>
  <ScaleCrop>false</ScaleCrop>
  <LinksUpToDate>false</LinksUpToDate>
  <CharactersWithSpaces>471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2017-05-15T10:55:00Z</dcterms:created>
  <dc:creator>雷小明</dc:creator>
  <cp:lastModifiedBy>Administrator</cp:lastModifiedBy>
  <cp:lastPrinted>2018-11-22T02:16:31Z</cp:lastPrinted>
  <dcterms:modified xsi:type="dcterms:W3CDTF">2018-11-22T02:16:42Z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